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9CAA9" w14:textId="77777777" w:rsidR="00553D36" w:rsidRPr="00553D36" w:rsidRDefault="00E7121B" w:rsidP="00553D36">
      <w:pPr>
        <w:pStyle w:val="Kehatekst"/>
        <w:spacing w:before="68"/>
        <w:ind w:left="1586" w:right="1055" w:hanging="447"/>
        <w:jc w:val="right"/>
        <w:rPr>
          <w:spacing w:val="-4"/>
          <w:sz w:val="22"/>
          <w:szCs w:val="22"/>
        </w:rPr>
      </w:pPr>
      <w:r w:rsidRPr="00553D36">
        <w:rPr>
          <w:sz w:val="22"/>
          <w:szCs w:val="22"/>
        </w:rPr>
        <w:t>Euroopa</w:t>
      </w:r>
      <w:r w:rsidRPr="00553D36">
        <w:rPr>
          <w:spacing w:val="-5"/>
          <w:sz w:val="22"/>
          <w:szCs w:val="22"/>
        </w:rPr>
        <w:t xml:space="preserve"> </w:t>
      </w:r>
      <w:r w:rsidRPr="00553D36">
        <w:rPr>
          <w:sz w:val="22"/>
          <w:szCs w:val="22"/>
        </w:rPr>
        <w:t>Parlamendi</w:t>
      </w:r>
      <w:r w:rsidRPr="00553D36">
        <w:rPr>
          <w:spacing w:val="-4"/>
          <w:sz w:val="22"/>
          <w:szCs w:val="22"/>
        </w:rPr>
        <w:t xml:space="preserve"> </w:t>
      </w:r>
      <w:r w:rsidRPr="00553D36">
        <w:rPr>
          <w:sz w:val="22"/>
          <w:szCs w:val="22"/>
        </w:rPr>
        <w:t>ja</w:t>
      </w:r>
      <w:r w:rsidRPr="00553D36">
        <w:rPr>
          <w:spacing w:val="-4"/>
          <w:sz w:val="22"/>
          <w:szCs w:val="22"/>
        </w:rPr>
        <w:t xml:space="preserve"> </w:t>
      </w:r>
      <w:r w:rsidRPr="00553D36">
        <w:rPr>
          <w:sz w:val="22"/>
          <w:szCs w:val="22"/>
        </w:rPr>
        <w:t>nõukogu</w:t>
      </w:r>
      <w:r w:rsidRPr="00553D36">
        <w:rPr>
          <w:spacing w:val="-4"/>
          <w:sz w:val="22"/>
          <w:szCs w:val="22"/>
        </w:rPr>
        <w:t xml:space="preserve"> </w:t>
      </w:r>
      <w:r w:rsidRPr="00553D36">
        <w:rPr>
          <w:sz w:val="22"/>
          <w:szCs w:val="22"/>
        </w:rPr>
        <w:t>määruse</w:t>
      </w:r>
      <w:r w:rsidRPr="00553D36">
        <w:rPr>
          <w:spacing w:val="-4"/>
          <w:sz w:val="22"/>
          <w:szCs w:val="22"/>
        </w:rPr>
        <w:t xml:space="preserve"> </w:t>
      </w:r>
      <w:r w:rsidRPr="00553D36">
        <w:rPr>
          <w:sz w:val="22"/>
          <w:szCs w:val="22"/>
        </w:rPr>
        <w:t>(EL)</w:t>
      </w:r>
      <w:r w:rsidRPr="00553D36">
        <w:rPr>
          <w:spacing w:val="-4"/>
          <w:sz w:val="22"/>
          <w:szCs w:val="22"/>
        </w:rPr>
        <w:t xml:space="preserve"> </w:t>
      </w:r>
      <w:r w:rsidRPr="00553D36">
        <w:rPr>
          <w:sz w:val="22"/>
          <w:szCs w:val="22"/>
        </w:rPr>
        <w:t>2024/2747,</w:t>
      </w:r>
      <w:r w:rsidRPr="00553D36">
        <w:rPr>
          <w:spacing w:val="-4"/>
          <w:sz w:val="22"/>
          <w:szCs w:val="22"/>
        </w:rPr>
        <w:t xml:space="preserve"> </w:t>
      </w:r>
    </w:p>
    <w:p w14:paraId="1143ADAB" w14:textId="77777777" w:rsidR="00553D36" w:rsidRPr="00553D36" w:rsidRDefault="00E7121B" w:rsidP="00553D36">
      <w:pPr>
        <w:pStyle w:val="Kehatekst"/>
        <w:spacing w:before="68"/>
        <w:ind w:left="1586" w:right="1055" w:hanging="447"/>
        <w:jc w:val="right"/>
        <w:rPr>
          <w:spacing w:val="-4"/>
          <w:sz w:val="22"/>
          <w:szCs w:val="22"/>
        </w:rPr>
      </w:pPr>
      <w:r w:rsidRPr="00553D36">
        <w:rPr>
          <w:sz w:val="22"/>
          <w:szCs w:val="22"/>
        </w:rPr>
        <w:t>millega</w:t>
      </w:r>
      <w:r w:rsidRPr="00553D36">
        <w:rPr>
          <w:spacing w:val="-5"/>
          <w:sz w:val="22"/>
          <w:szCs w:val="22"/>
        </w:rPr>
        <w:t xml:space="preserve"> </w:t>
      </w:r>
      <w:r w:rsidRPr="00553D36">
        <w:rPr>
          <w:sz w:val="22"/>
          <w:szCs w:val="22"/>
        </w:rPr>
        <w:t>luuakse</w:t>
      </w:r>
      <w:r w:rsidRPr="00553D36">
        <w:rPr>
          <w:spacing w:val="-3"/>
          <w:sz w:val="22"/>
          <w:szCs w:val="22"/>
        </w:rPr>
        <w:t xml:space="preserve"> </w:t>
      </w:r>
      <w:r w:rsidRPr="00553D36">
        <w:rPr>
          <w:sz w:val="22"/>
          <w:szCs w:val="22"/>
        </w:rPr>
        <w:t>siseturu</w:t>
      </w:r>
      <w:r w:rsidRPr="00553D36">
        <w:rPr>
          <w:spacing w:val="-4"/>
          <w:sz w:val="22"/>
          <w:szCs w:val="22"/>
        </w:rPr>
        <w:t xml:space="preserve"> </w:t>
      </w:r>
      <w:r w:rsidRPr="00553D36">
        <w:rPr>
          <w:sz w:val="22"/>
          <w:szCs w:val="22"/>
        </w:rPr>
        <w:t>hädaolukorra ja</w:t>
      </w:r>
      <w:r w:rsidRPr="00553D36">
        <w:rPr>
          <w:spacing w:val="-4"/>
          <w:sz w:val="22"/>
          <w:szCs w:val="22"/>
        </w:rPr>
        <w:t xml:space="preserve"> </w:t>
      </w:r>
      <w:r w:rsidRPr="00553D36">
        <w:rPr>
          <w:sz w:val="22"/>
          <w:szCs w:val="22"/>
        </w:rPr>
        <w:t>vastupanuvõimega</w:t>
      </w:r>
      <w:r w:rsidRPr="00553D36">
        <w:rPr>
          <w:spacing w:val="-5"/>
          <w:sz w:val="22"/>
          <w:szCs w:val="22"/>
        </w:rPr>
        <w:t xml:space="preserve"> </w:t>
      </w:r>
      <w:r w:rsidRPr="00553D36">
        <w:rPr>
          <w:sz w:val="22"/>
          <w:szCs w:val="22"/>
        </w:rPr>
        <w:t>seotud</w:t>
      </w:r>
      <w:r w:rsidRPr="00553D36">
        <w:rPr>
          <w:spacing w:val="-4"/>
          <w:sz w:val="22"/>
          <w:szCs w:val="22"/>
        </w:rPr>
        <w:t xml:space="preserve"> </w:t>
      </w:r>
    </w:p>
    <w:p w14:paraId="3F7A440C" w14:textId="77777777" w:rsidR="00553D36" w:rsidRPr="00553D36" w:rsidRDefault="00E7121B" w:rsidP="00553D36">
      <w:pPr>
        <w:pStyle w:val="Kehatekst"/>
        <w:spacing w:before="68"/>
        <w:ind w:left="1586" w:right="1055" w:hanging="447"/>
        <w:jc w:val="right"/>
        <w:rPr>
          <w:spacing w:val="-4"/>
          <w:sz w:val="22"/>
          <w:szCs w:val="22"/>
        </w:rPr>
      </w:pPr>
      <w:r w:rsidRPr="00553D36">
        <w:rPr>
          <w:sz w:val="22"/>
          <w:szCs w:val="22"/>
        </w:rPr>
        <w:t>meetmete</w:t>
      </w:r>
      <w:r w:rsidRPr="00553D36">
        <w:rPr>
          <w:spacing w:val="-4"/>
          <w:sz w:val="22"/>
          <w:szCs w:val="22"/>
        </w:rPr>
        <w:t xml:space="preserve"> </w:t>
      </w:r>
      <w:r w:rsidRPr="00553D36">
        <w:rPr>
          <w:sz w:val="22"/>
          <w:szCs w:val="22"/>
        </w:rPr>
        <w:t>raamistik</w:t>
      </w:r>
      <w:r w:rsidRPr="00553D36">
        <w:rPr>
          <w:spacing w:val="-4"/>
          <w:sz w:val="22"/>
          <w:szCs w:val="22"/>
        </w:rPr>
        <w:t xml:space="preserve"> </w:t>
      </w:r>
      <w:r w:rsidRPr="00553D36">
        <w:rPr>
          <w:sz w:val="22"/>
          <w:szCs w:val="22"/>
        </w:rPr>
        <w:t>ning</w:t>
      </w:r>
      <w:r w:rsidRPr="00553D36">
        <w:rPr>
          <w:spacing w:val="-6"/>
          <w:sz w:val="22"/>
          <w:szCs w:val="22"/>
        </w:rPr>
        <w:t xml:space="preserve"> </w:t>
      </w:r>
      <w:r w:rsidRPr="00553D36">
        <w:rPr>
          <w:sz w:val="22"/>
          <w:szCs w:val="22"/>
        </w:rPr>
        <w:t>muudetakse</w:t>
      </w:r>
      <w:r w:rsidRPr="00553D36">
        <w:rPr>
          <w:spacing w:val="-5"/>
          <w:sz w:val="22"/>
          <w:szCs w:val="22"/>
        </w:rPr>
        <w:t xml:space="preserve"> </w:t>
      </w:r>
      <w:r w:rsidRPr="00553D36">
        <w:rPr>
          <w:sz w:val="22"/>
          <w:szCs w:val="22"/>
        </w:rPr>
        <w:t>nõukogu</w:t>
      </w:r>
      <w:r w:rsidRPr="00553D36">
        <w:rPr>
          <w:spacing w:val="-2"/>
          <w:sz w:val="22"/>
          <w:szCs w:val="22"/>
        </w:rPr>
        <w:t xml:space="preserve"> </w:t>
      </w:r>
      <w:r w:rsidRPr="00553D36">
        <w:rPr>
          <w:sz w:val="22"/>
          <w:szCs w:val="22"/>
        </w:rPr>
        <w:t>määrust</w:t>
      </w:r>
      <w:r w:rsidRPr="00553D36">
        <w:rPr>
          <w:spacing w:val="-4"/>
          <w:sz w:val="22"/>
          <w:szCs w:val="22"/>
        </w:rPr>
        <w:t xml:space="preserve"> </w:t>
      </w:r>
    </w:p>
    <w:p w14:paraId="74F3148A" w14:textId="77777777" w:rsidR="00553D36" w:rsidRPr="00553D36" w:rsidRDefault="00E7121B" w:rsidP="00553D36">
      <w:pPr>
        <w:pStyle w:val="Kehatekst"/>
        <w:spacing w:before="68"/>
        <w:ind w:left="1586" w:right="1055" w:hanging="447"/>
        <w:jc w:val="right"/>
        <w:rPr>
          <w:sz w:val="22"/>
          <w:szCs w:val="22"/>
        </w:rPr>
      </w:pPr>
      <w:r w:rsidRPr="00553D36">
        <w:rPr>
          <w:sz w:val="22"/>
          <w:szCs w:val="22"/>
        </w:rPr>
        <w:t>(EÜ)</w:t>
      </w:r>
      <w:r w:rsidRPr="00553D36">
        <w:rPr>
          <w:spacing w:val="-3"/>
          <w:sz w:val="22"/>
          <w:szCs w:val="22"/>
        </w:rPr>
        <w:t xml:space="preserve"> </w:t>
      </w:r>
      <w:r w:rsidRPr="00553D36">
        <w:rPr>
          <w:sz w:val="22"/>
          <w:szCs w:val="22"/>
        </w:rPr>
        <w:t xml:space="preserve">nr 2679/98 (siseturu hädaolukorra ja vastupanuvõime määrus), </w:t>
      </w:r>
    </w:p>
    <w:p w14:paraId="040E086B" w14:textId="2D617994" w:rsidR="005C06E2" w:rsidRPr="00553D36" w:rsidRDefault="00E7121B" w:rsidP="00553D36">
      <w:pPr>
        <w:pStyle w:val="Kehatekst"/>
        <w:spacing w:before="68"/>
        <w:ind w:left="1586" w:right="1055" w:hanging="447"/>
        <w:jc w:val="right"/>
        <w:rPr>
          <w:sz w:val="22"/>
          <w:szCs w:val="22"/>
        </w:rPr>
      </w:pPr>
      <w:r w:rsidRPr="00553D36">
        <w:rPr>
          <w:sz w:val="22"/>
          <w:szCs w:val="22"/>
        </w:rPr>
        <w:t>rakendamise seaduse eelnõu</w:t>
      </w:r>
      <w:r w:rsidR="00553D36" w:rsidRPr="00553D36">
        <w:rPr>
          <w:sz w:val="22"/>
          <w:szCs w:val="22"/>
        </w:rPr>
        <w:t xml:space="preserve"> seletuskirja juurde</w:t>
      </w:r>
    </w:p>
    <w:p w14:paraId="38621E68" w14:textId="1B187C4F" w:rsidR="005C06E2" w:rsidRPr="00553D36" w:rsidRDefault="00553D36" w:rsidP="00553D36">
      <w:pPr>
        <w:pStyle w:val="Kehatekst"/>
        <w:ind w:right="1056"/>
        <w:jc w:val="right"/>
        <w:rPr>
          <w:sz w:val="22"/>
          <w:szCs w:val="22"/>
        </w:rPr>
      </w:pPr>
      <w:r w:rsidRPr="00553D36">
        <w:rPr>
          <w:spacing w:val="-2"/>
          <w:sz w:val="22"/>
          <w:szCs w:val="22"/>
        </w:rPr>
        <w:t>Lisa</w:t>
      </w:r>
    </w:p>
    <w:p w14:paraId="419EA367" w14:textId="77777777" w:rsidR="005C06E2" w:rsidRPr="00553D36" w:rsidRDefault="00E7121B" w:rsidP="00553D36">
      <w:pPr>
        <w:pStyle w:val="Pealkiri1"/>
        <w:jc w:val="center"/>
        <w:rPr>
          <w:sz w:val="22"/>
          <w:szCs w:val="22"/>
        </w:rPr>
      </w:pPr>
      <w:r w:rsidRPr="00553D36">
        <w:rPr>
          <w:spacing w:val="-2"/>
          <w:sz w:val="22"/>
          <w:szCs w:val="22"/>
        </w:rPr>
        <w:t>KOOSKÕLASTUSTABEL</w:t>
      </w:r>
    </w:p>
    <w:p w14:paraId="795F00FC" w14:textId="77777777" w:rsidR="005C06E2" w:rsidRDefault="005C06E2">
      <w:pPr>
        <w:pStyle w:val="Kehatekst"/>
        <w:spacing w:before="133"/>
        <w:rPr>
          <w:b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843"/>
        <w:gridCol w:w="3543"/>
        <w:gridCol w:w="3336"/>
      </w:tblGrid>
      <w:tr w:rsidR="005C06E2" w14:paraId="27FEDEAE" w14:textId="77777777" w:rsidTr="007A1C4C">
        <w:trPr>
          <w:trHeight w:val="827"/>
        </w:trPr>
        <w:tc>
          <w:tcPr>
            <w:tcW w:w="2480" w:type="dxa"/>
            <w:shd w:val="clear" w:color="auto" w:fill="FFC000"/>
          </w:tcPr>
          <w:p w14:paraId="4CB5AF12" w14:textId="77777777" w:rsidR="005C06E2" w:rsidRDefault="00E7121B">
            <w:pPr>
              <w:pStyle w:val="TableParagraph"/>
              <w:ind w:left="110" w:right="8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Kooskõlastaja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või arvamuse esitaja</w:t>
            </w:r>
          </w:p>
        </w:tc>
        <w:tc>
          <w:tcPr>
            <w:tcW w:w="1843" w:type="dxa"/>
            <w:shd w:val="clear" w:color="auto" w:fill="FFC000"/>
          </w:tcPr>
          <w:p w14:paraId="710A1230" w14:textId="77777777" w:rsidR="005C06E2" w:rsidRDefault="00E7121B">
            <w:pPr>
              <w:pStyle w:val="TableParagraph"/>
              <w:spacing w:line="272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Eelnõu</w:t>
            </w:r>
          </w:p>
          <w:p w14:paraId="2A68B4AC" w14:textId="77777777" w:rsidR="005C06E2" w:rsidRDefault="00E7121B">
            <w:pPr>
              <w:pStyle w:val="TableParagraph"/>
              <w:spacing w:line="270" w:lineRule="atLeast"/>
              <w:ind w:left="110" w:right="552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paragrahv, </w:t>
            </w:r>
            <w:r>
              <w:rPr>
                <w:b/>
                <w:sz w:val="24"/>
              </w:rPr>
              <w:t>lõige,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punkt</w:t>
            </w:r>
          </w:p>
        </w:tc>
        <w:tc>
          <w:tcPr>
            <w:tcW w:w="3543" w:type="dxa"/>
            <w:shd w:val="clear" w:color="auto" w:fill="FFC000"/>
          </w:tcPr>
          <w:p w14:paraId="0DE8006E" w14:textId="77777777" w:rsidR="005C06E2" w:rsidRDefault="00E7121B">
            <w:pPr>
              <w:pStyle w:val="TableParagraph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Märkuste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või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ettepaneku </w:t>
            </w:r>
            <w:r>
              <w:rPr>
                <w:b/>
                <w:spacing w:val="-4"/>
                <w:sz w:val="24"/>
              </w:rPr>
              <w:t>sisu</w:t>
            </w:r>
          </w:p>
        </w:tc>
        <w:tc>
          <w:tcPr>
            <w:tcW w:w="3336" w:type="dxa"/>
            <w:shd w:val="clear" w:color="auto" w:fill="FFC000"/>
          </w:tcPr>
          <w:p w14:paraId="18653C8D" w14:textId="77777777" w:rsidR="005C06E2" w:rsidRDefault="00E7121B">
            <w:pPr>
              <w:pStyle w:val="TableParagraph"/>
              <w:spacing w:line="272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Arvestatud/arvestatud</w:t>
            </w:r>
          </w:p>
          <w:p w14:paraId="7ED0B6B9" w14:textId="77777777" w:rsidR="005C06E2" w:rsidRDefault="00E7121B">
            <w:pPr>
              <w:pStyle w:val="TableParagraph"/>
              <w:spacing w:line="270" w:lineRule="atLeast"/>
              <w:ind w:right="4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osaliselt/mittearvestatud/ selgitatud</w:t>
            </w:r>
          </w:p>
        </w:tc>
      </w:tr>
    </w:tbl>
    <w:p w14:paraId="77B17C45" w14:textId="77777777" w:rsidR="005C06E2" w:rsidRDefault="005C06E2">
      <w:pPr>
        <w:pStyle w:val="TableParagraph"/>
        <w:spacing w:line="270" w:lineRule="atLeast"/>
        <w:jc w:val="left"/>
        <w:rPr>
          <w:b/>
          <w:sz w:val="24"/>
        </w:rPr>
        <w:sectPr w:rsidR="005C06E2">
          <w:footerReference w:type="default" r:id="rId10"/>
          <w:type w:val="continuous"/>
          <w:pgSz w:w="12240" w:h="15840"/>
          <w:pgMar w:top="1400" w:right="360" w:bottom="280" w:left="360" w:header="708" w:footer="708" w:gutter="0"/>
          <w:cols w:space="708"/>
        </w:sect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843"/>
        <w:gridCol w:w="3543"/>
        <w:gridCol w:w="3336"/>
      </w:tblGrid>
      <w:tr w:rsidR="005C06E2" w14:paraId="0B57A8ED" w14:textId="77777777" w:rsidTr="007A1C4C">
        <w:trPr>
          <w:trHeight w:val="1975"/>
        </w:trPr>
        <w:tc>
          <w:tcPr>
            <w:tcW w:w="2480" w:type="dxa"/>
          </w:tcPr>
          <w:p w14:paraId="792D4C4E" w14:textId="77777777" w:rsidR="005C06E2" w:rsidRPr="00553D36" w:rsidRDefault="00E7121B">
            <w:pPr>
              <w:pStyle w:val="TableParagraph"/>
              <w:ind w:left="110" w:right="659"/>
              <w:jc w:val="left"/>
              <w:rPr>
                <w:b/>
                <w:bCs/>
                <w:sz w:val="24"/>
              </w:rPr>
            </w:pPr>
            <w:r w:rsidRPr="00553D36">
              <w:rPr>
                <w:b/>
                <w:bCs/>
                <w:sz w:val="24"/>
              </w:rPr>
              <w:t>Eesti</w:t>
            </w:r>
            <w:r w:rsidRPr="00553D36">
              <w:rPr>
                <w:b/>
                <w:bCs/>
                <w:spacing w:val="-15"/>
                <w:sz w:val="24"/>
              </w:rPr>
              <w:t xml:space="preserve"> </w:t>
            </w:r>
            <w:r w:rsidRPr="00553D36">
              <w:rPr>
                <w:b/>
                <w:bCs/>
                <w:sz w:val="24"/>
              </w:rPr>
              <w:t>Põllumajandus-</w:t>
            </w:r>
            <w:r w:rsidRPr="00553D36">
              <w:rPr>
                <w:b/>
                <w:bCs/>
                <w:spacing w:val="-2"/>
                <w:sz w:val="24"/>
              </w:rPr>
              <w:t>Kaubanduskoda</w:t>
            </w:r>
          </w:p>
        </w:tc>
        <w:tc>
          <w:tcPr>
            <w:tcW w:w="1843" w:type="dxa"/>
          </w:tcPr>
          <w:p w14:paraId="59D54A5D" w14:textId="77777777" w:rsidR="005C06E2" w:rsidRDefault="00E7121B">
            <w:pPr>
              <w:pStyle w:val="TableParagraph"/>
              <w:spacing w:line="268" w:lineRule="exact"/>
              <w:ind w:left="0" w:right="201"/>
              <w:jc w:val="center"/>
              <w:rPr>
                <w:sz w:val="24"/>
              </w:rPr>
            </w:pPr>
            <w:r>
              <w:rPr>
                <w:sz w:val="24"/>
              </w:rPr>
              <w:t>Seletuskiri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543" w:type="dxa"/>
          </w:tcPr>
          <w:p w14:paraId="26D14824" w14:textId="7AA19F22" w:rsidR="005C06E2" w:rsidRDefault="00E7121B" w:rsidP="001B2D30">
            <w:pPr>
              <w:pStyle w:val="TableParagraph"/>
              <w:tabs>
                <w:tab w:val="left" w:pos="1226"/>
              </w:tabs>
              <w:ind w:left="110" w:right="94"/>
              <w:rPr>
                <w:sz w:val="24"/>
              </w:rPr>
            </w:pPr>
            <w:r>
              <w:rPr>
                <w:spacing w:val="-2"/>
                <w:sz w:val="24"/>
              </w:rPr>
              <w:t>Eesti</w:t>
            </w:r>
            <w:r w:rsidR="00553D3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Põllumajandus-Kaubanduskoja ettepanek </w:t>
            </w:r>
            <w:r>
              <w:rPr>
                <w:spacing w:val="-2"/>
                <w:sz w:val="24"/>
              </w:rPr>
              <w:t>hädaolukorra</w:t>
            </w:r>
            <w:r w:rsidR="001B2D3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seaduse ja sellega seonduvalt teiste seaduste </w:t>
            </w:r>
            <w:r>
              <w:rPr>
                <w:spacing w:val="-2"/>
                <w:sz w:val="24"/>
              </w:rPr>
              <w:t>muutmise</w:t>
            </w:r>
            <w:r w:rsidR="00553D36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seaduse eelnõule.</w:t>
            </w:r>
          </w:p>
          <w:p w14:paraId="45C94832" w14:textId="5851B28F" w:rsidR="005C06E2" w:rsidRDefault="00E7121B">
            <w:pPr>
              <w:pStyle w:val="TableParagraph"/>
              <w:tabs>
                <w:tab w:val="left" w:pos="1226"/>
              </w:tabs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Eesti</w:t>
            </w:r>
            <w:r w:rsidR="00553D3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Põllumajandus-Kaubanduskoda (EPKK), mis koondab koos </w:t>
            </w:r>
            <w:r>
              <w:rPr>
                <w:spacing w:val="-2"/>
                <w:sz w:val="24"/>
              </w:rPr>
              <w:t xml:space="preserve">liikmesorganisatsioonidega </w:t>
            </w:r>
            <w:r>
              <w:rPr>
                <w:sz w:val="24"/>
              </w:rPr>
              <w:t>üle 30 000 juriidilise ja füüsilise isiku, pöördub Teie poole, et anda tagasisidet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hädaolukorra</w:t>
            </w:r>
          </w:p>
          <w:p w14:paraId="275933F9" w14:textId="622E5BA2" w:rsidR="00553D36" w:rsidRDefault="00E7121B" w:rsidP="00553D36">
            <w:pPr>
              <w:pStyle w:val="TableParagraph"/>
              <w:tabs>
                <w:tab w:val="left" w:pos="1986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seaduse ja sellega seonduvalt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teiste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seaduste</w:t>
            </w:r>
            <w:r w:rsidR="00553D36">
              <w:rPr>
                <w:spacing w:val="-2"/>
                <w:sz w:val="24"/>
              </w:rPr>
              <w:t xml:space="preserve"> muutmise</w:t>
            </w:r>
            <w:r w:rsidR="00A35ADB">
              <w:rPr>
                <w:sz w:val="24"/>
              </w:rPr>
              <w:t xml:space="preserve"> </w:t>
            </w:r>
            <w:r w:rsidR="00553D36">
              <w:rPr>
                <w:spacing w:val="-2"/>
                <w:sz w:val="24"/>
              </w:rPr>
              <w:t xml:space="preserve">seaduse </w:t>
            </w:r>
            <w:r w:rsidR="00553D36">
              <w:rPr>
                <w:sz w:val="24"/>
              </w:rPr>
              <w:t xml:space="preserve">eelnõule, arvestades, et eelnõu on Justiits- ja </w:t>
            </w:r>
            <w:r w:rsidR="00553D36">
              <w:rPr>
                <w:spacing w:val="-2"/>
                <w:sz w:val="24"/>
              </w:rPr>
              <w:t>Digiministeeriumi</w:t>
            </w:r>
          </w:p>
          <w:p w14:paraId="242BA11D" w14:textId="77777777" w:rsidR="00553D36" w:rsidRDefault="00553D36" w:rsidP="00553D3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kooskõlastamise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etapis.</w:t>
            </w:r>
          </w:p>
          <w:p w14:paraId="38D09E37" w14:textId="77777777" w:rsidR="00553D36" w:rsidRDefault="00553D36" w:rsidP="00553D36">
            <w:pPr>
              <w:pStyle w:val="TableParagraph"/>
              <w:tabs>
                <w:tab w:val="left" w:pos="2558"/>
              </w:tabs>
              <w:ind w:left="110" w:right="94"/>
              <w:rPr>
                <w:sz w:val="24"/>
              </w:rPr>
            </w:pPr>
            <w:r>
              <w:rPr>
                <w:sz w:val="24"/>
              </w:rPr>
              <w:t>Hädaolukorra seaduse ja sellega seonduvalt teiste seaduste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muutmise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seaduse eesmärk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tagada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siseturu </w:t>
            </w:r>
            <w:r>
              <w:rPr>
                <w:spacing w:val="-2"/>
                <w:sz w:val="24"/>
              </w:rPr>
              <w:t>hädaolukorra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ja </w:t>
            </w:r>
            <w:r>
              <w:rPr>
                <w:sz w:val="24"/>
              </w:rPr>
              <w:t>vastupanuvõime määruse (EL) 2024/2747 (edaspidi IMERA) ning sellega seotud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koondmääruse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(EL) 2024/2748 rakendamine Eesti õiguses. Eelnõu eesmärk on seega kehtestada siseriiklikult nõuded,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tulenevad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EL-i ülese hädaolukorra rakendumisel siseturu </w:t>
            </w:r>
            <w:r>
              <w:rPr>
                <w:spacing w:val="-2"/>
                <w:sz w:val="24"/>
              </w:rPr>
              <w:t>toimimisest.</w:t>
            </w:r>
          </w:p>
          <w:p w14:paraId="28B9069E" w14:textId="424026EE" w:rsidR="00553D36" w:rsidRDefault="00553D36" w:rsidP="003C2C01">
            <w:pPr>
              <w:pStyle w:val="TableParagraph"/>
              <w:tabs>
                <w:tab w:val="left" w:pos="2145"/>
                <w:tab w:val="left" w:pos="2292"/>
                <w:tab w:val="left" w:pos="2493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EL-i siseturu hädaolukorra mehhanismi rakendamise </w:t>
            </w:r>
            <w:r>
              <w:rPr>
                <w:spacing w:val="-2"/>
                <w:sz w:val="24"/>
              </w:rPr>
              <w:t>koordineerimisel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on </w:t>
            </w:r>
            <w:r>
              <w:rPr>
                <w:sz w:val="24"/>
              </w:rPr>
              <w:t xml:space="preserve">keskne </w:t>
            </w:r>
            <w:r>
              <w:rPr>
                <w:sz w:val="24"/>
              </w:rPr>
              <w:lastRenderedPageBreak/>
              <w:t xml:space="preserve">roll Euroopa </w:t>
            </w:r>
            <w:r>
              <w:rPr>
                <w:spacing w:val="-2"/>
                <w:sz w:val="24"/>
              </w:rPr>
              <w:t>Komisjonil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ning </w:t>
            </w:r>
            <w:r>
              <w:rPr>
                <w:sz w:val="24"/>
              </w:rPr>
              <w:t>otsustuspädevus teatud juhtudel Euroopa Liidu Nõukogul,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mille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raames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on võimalik kriisiolukorras </w:t>
            </w:r>
            <w:r>
              <w:rPr>
                <w:spacing w:val="-2"/>
                <w:sz w:val="24"/>
              </w:rPr>
              <w:t>kehtestada</w:t>
            </w:r>
            <w:r w:rsidR="003C2C0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ajutisi</w:t>
            </w:r>
            <w:r w:rsidR="003C2C01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meetmeid,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sealhulgas</w:t>
            </w:r>
            <w:r w:rsidR="003C2C01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kriitiliste</w:t>
            </w:r>
            <w:r w:rsidR="003C2C0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kaupade </w:t>
            </w:r>
            <w:r>
              <w:rPr>
                <w:sz w:val="24"/>
              </w:rPr>
              <w:t>kättesaadavuse tagamiseks vajalikke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piiranguid.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Kuigi </w:t>
            </w:r>
            <w:r>
              <w:rPr>
                <w:spacing w:val="-2"/>
                <w:sz w:val="24"/>
              </w:rPr>
              <w:t>mehhanismi</w:t>
            </w:r>
            <w:r w:rsidR="003C2C0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oluline </w:t>
            </w:r>
            <w:r>
              <w:rPr>
                <w:sz w:val="24"/>
              </w:rPr>
              <w:t>eesmärk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tagada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kaupade vaba liikumine EL-i sees, võib teatud olukordades tekkida vajadus piirata või </w:t>
            </w:r>
            <w:r>
              <w:rPr>
                <w:spacing w:val="-2"/>
                <w:sz w:val="24"/>
              </w:rPr>
              <w:t>reguleerida</w:t>
            </w:r>
            <w:r w:rsidR="003C2C01">
              <w:rPr>
                <w:spacing w:val="-2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eksporti </w:t>
            </w:r>
            <w:r>
              <w:rPr>
                <w:sz w:val="24"/>
              </w:rPr>
              <w:t>kolmandatesse riikidesse. Sellest tulenevalt tekib küsimus,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milline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on</w:t>
            </w:r>
            <w:r w:rsidR="003C2C01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kolmandatesse riikidesse eksportivate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ettevõtjate </w:t>
            </w:r>
            <w:r>
              <w:rPr>
                <w:sz w:val="24"/>
              </w:rPr>
              <w:t xml:space="preserve">õiguslik olukord juhul, kui </w:t>
            </w:r>
            <w:r>
              <w:rPr>
                <w:spacing w:val="-2"/>
                <w:sz w:val="24"/>
              </w:rPr>
              <w:t>nimetatud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EL-i </w:t>
            </w:r>
            <w:r>
              <w:rPr>
                <w:sz w:val="24"/>
              </w:rPr>
              <w:t>institutsioonid võtavad vastu siduvaid meetmeid ekspordi piiramiseks, ning milline on ettevõtjate õiguslik kaitse lepingute mittetäitmise korral.</w:t>
            </w:r>
          </w:p>
          <w:p w14:paraId="0D16B0C1" w14:textId="4EABE2DE" w:rsidR="00553D36" w:rsidRDefault="00553D36" w:rsidP="00B458E4">
            <w:pPr>
              <w:pStyle w:val="TableParagraph"/>
              <w:tabs>
                <w:tab w:val="left" w:pos="2104"/>
                <w:tab w:val="left" w:pos="2306"/>
              </w:tabs>
              <w:spacing w:before="268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Kehtiv EL-i määrus ei reguleeri eraõiguslike lepingute täitmist ega sätesta automaatset force </w:t>
            </w:r>
            <w:r>
              <w:rPr>
                <w:spacing w:val="-2"/>
                <w:sz w:val="24"/>
              </w:rPr>
              <w:t>majeure’i</w:t>
            </w:r>
            <w:r w:rsidR="00B458E4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kaitset </w:t>
            </w:r>
            <w:r>
              <w:rPr>
                <w:sz w:val="24"/>
              </w:rPr>
              <w:t xml:space="preserve">ettevõtjatele. Õigusliku selguse puudumine võib kriisiolukorras suurendada </w:t>
            </w:r>
            <w:r>
              <w:rPr>
                <w:spacing w:val="-2"/>
                <w:sz w:val="24"/>
              </w:rPr>
              <w:t>ebakindlust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ning</w:t>
            </w:r>
            <w:r>
              <w:rPr>
                <w:sz w:val="24"/>
              </w:rPr>
              <w:t xml:space="preserve"> halvendada ettevõtjate </w:t>
            </w:r>
            <w:r>
              <w:rPr>
                <w:spacing w:val="-2"/>
                <w:sz w:val="24"/>
              </w:rPr>
              <w:t>valmisolekut</w:t>
            </w:r>
            <w:r w:rsidR="00B458E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kriisimeetmete rakendamisel.</w:t>
            </w:r>
          </w:p>
          <w:p w14:paraId="3A878EFE" w14:textId="77777777" w:rsidR="00553D36" w:rsidRDefault="00553D36" w:rsidP="00553D36">
            <w:pPr>
              <w:pStyle w:val="TableParagraph"/>
              <w:ind w:left="0"/>
              <w:jc w:val="left"/>
              <w:rPr>
                <w:rFonts w:ascii="Arial MT"/>
                <w:sz w:val="24"/>
              </w:rPr>
            </w:pPr>
          </w:p>
          <w:p w14:paraId="09975050" w14:textId="6DED2679" w:rsidR="00553D36" w:rsidRDefault="00553D36" w:rsidP="00136DF6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 xml:space="preserve">Seetõttu peame vajalikuks, et siseriiklikul tasandil oleks selgelt määratletud, kas ja millal loetakse EL-i tasandil kehtestatud siduv </w:t>
            </w:r>
            <w:r>
              <w:rPr>
                <w:spacing w:val="-2"/>
                <w:sz w:val="24"/>
              </w:rPr>
              <w:t>ekspordipiirang</w:t>
            </w:r>
            <w:r w:rsidR="000005A7"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vääramatuks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jõuks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(force majeure),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kas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vastutusest </w:t>
            </w:r>
            <w:r>
              <w:rPr>
                <w:spacing w:val="-2"/>
                <w:sz w:val="24"/>
              </w:rPr>
              <w:t>vabastamine</w:t>
            </w:r>
            <w:r w:rsidR="000005A7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toimub </w:t>
            </w:r>
            <w:r>
              <w:rPr>
                <w:sz w:val="24"/>
              </w:rPr>
              <w:t>automaatselt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või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eeldab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see </w:t>
            </w:r>
            <w:r>
              <w:rPr>
                <w:spacing w:val="-2"/>
                <w:sz w:val="24"/>
              </w:rPr>
              <w:t>täiendavat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tõendamist, milline</w:t>
            </w:r>
            <w:r w:rsidR="00136DF6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on</w:t>
            </w:r>
            <w:r w:rsidR="00136DF6"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ettevõtja tõendamiskoormus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ning </w:t>
            </w:r>
            <w:r>
              <w:rPr>
                <w:spacing w:val="-2"/>
                <w:sz w:val="24"/>
              </w:rPr>
              <w:t>kuidas</w:t>
            </w:r>
            <w:r w:rsidR="00136DF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käsitletakse </w:t>
            </w:r>
            <w:r>
              <w:rPr>
                <w:sz w:val="24"/>
              </w:rPr>
              <w:t>olukorda,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kus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tegemist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ei </w:t>
            </w:r>
            <w:r>
              <w:rPr>
                <w:spacing w:val="-4"/>
                <w:sz w:val="24"/>
              </w:rPr>
              <w:t>ole</w:t>
            </w:r>
            <w:r w:rsidR="00136DF6"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absoluutse</w:t>
            </w:r>
            <w:r w:rsidR="00136DF6">
              <w:rPr>
                <w:spacing w:val="-2"/>
                <w:sz w:val="24"/>
              </w:rPr>
              <w:t xml:space="preserve"> </w:t>
            </w:r>
            <w:r>
              <w:rPr>
                <w:spacing w:val="-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keeluga, </w:t>
            </w:r>
            <w:r>
              <w:rPr>
                <w:spacing w:val="-4"/>
                <w:sz w:val="24"/>
              </w:rPr>
              <w:t>vaid</w:t>
            </w:r>
            <w:r w:rsidR="00136DF6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loa- </w:t>
            </w:r>
            <w:r>
              <w:rPr>
                <w:spacing w:val="-4"/>
                <w:sz w:val="24"/>
              </w:rPr>
              <w:t xml:space="preserve">või </w:t>
            </w:r>
            <w:r>
              <w:rPr>
                <w:spacing w:val="-2"/>
                <w:sz w:val="24"/>
              </w:rPr>
              <w:lastRenderedPageBreak/>
              <w:t xml:space="preserve">prioriteedimehhanismiga. </w:t>
            </w:r>
            <w:r>
              <w:rPr>
                <w:spacing w:val="-4"/>
                <w:sz w:val="24"/>
              </w:rPr>
              <w:t>EPKK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teeb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ettepaneku kaaluda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põhimõtte </w:t>
            </w:r>
            <w:r>
              <w:rPr>
                <w:sz w:val="24"/>
              </w:rPr>
              <w:t>sätestamist,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mille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kohaselt juhul,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kui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EL-i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õigusakti </w:t>
            </w:r>
            <w:r>
              <w:rPr>
                <w:spacing w:val="-5"/>
                <w:sz w:val="24"/>
              </w:rPr>
              <w:t>või</w:t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z w:val="24"/>
              </w:rPr>
              <w:t xml:space="preserve">selle </w:t>
            </w:r>
            <w:r>
              <w:rPr>
                <w:spacing w:val="-2"/>
                <w:sz w:val="24"/>
              </w:rPr>
              <w:t>alusel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antud</w:t>
            </w:r>
            <w:r w:rsidR="00136DF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siduva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haldusakti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tõttu </w:t>
            </w:r>
            <w:r>
              <w:rPr>
                <w:sz w:val="24"/>
              </w:rPr>
              <w:t xml:space="preserve">muutub kolmandasse riiki eksportimine õiguslikult keelatuks või objektiivselt võimatuks, loetakse see asjaolu ettevõtja suhtes </w:t>
            </w:r>
            <w:r>
              <w:rPr>
                <w:spacing w:val="-2"/>
                <w:sz w:val="24"/>
              </w:rPr>
              <w:t>vääramatuks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jõuks </w:t>
            </w:r>
            <w:r>
              <w:rPr>
                <w:sz w:val="24"/>
              </w:rPr>
              <w:t>ulatuses, milles kohustuse täitmine on takistatud.</w:t>
            </w:r>
          </w:p>
          <w:p w14:paraId="2D84FAA2" w14:textId="5E05D816" w:rsidR="00553D36" w:rsidRDefault="00553D36" w:rsidP="00136DF6">
            <w:pPr>
              <w:pStyle w:val="TableParagraph"/>
              <w:tabs>
                <w:tab w:val="left" w:pos="1957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EL-i kriisimehhanism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võib äärmuslikel juhtudel kaasa tuua ekspordipiiranguid, </w:t>
            </w:r>
            <w:r>
              <w:rPr>
                <w:spacing w:val="-2"/>
                <w:sz w:val="24"/>
              </w:rPr>
              <w:t>millega</w:t>
            </w:r>
            <w:r w:rsidR="00136DF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kaasneb</w:t>
            </w:r>
            <w:r w:rsidR="00136DF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ettevõtjatele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oluline </w:t>
            </w:r>
            <w:r>
              <w:rPr>
                <w:sz w:val="24"/>
              </w:rPr>
              <w:t>lepinguline vastutusrisk. Kehtiv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regulatsioon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taga </w:t>
            </w:r>
            <w:r>
              <w:rPr>
                <w:spacing w:val="-2"/>
                <w:sz w:val="24"/>
              </w:rPr>
              <w:t>automaatset</w:t>
            </w:r>
            <w:r w:rsidR="00136DF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force</w:t>
            </w:r>
            <w:r w:rsidR="00136DF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majeure’i</w:t>
            </w:r>
            <w:r w:rsidR="00136DF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kaitset.</w:t>
            </w:r>
          </w:p>
          <w:p w14:paraId="604BE80B" w14:textId="56AB2243" w:rsidR="005C06E2" w:rsidRDefault="00553D36" w:rsidP="00136DF6">
            <w:pPr>
              <w:pStyle w:val="TableParagraph"/>
              <w:tabs>
                <w:tab w:val="left" w:pos="2025"/>
                <w:tab w:val="left" w:pos="2210"/>
              </w:tabs>
              <w:ind w:left="110" w:right="9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Õigusliku</w:t>
            </w:r>
            <w:r w:rsidR="00136DF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selguse </w:t>
            </w:r>
            <w:r>
              <w:rPr>
                <w:sz w:val="24"/>
              </w:rPr>
              <w:t xml:space="preserve">tagamiseks on vajalik siseriiklikult määratleda, millal ja millises ulatuses loetakse EL-i tasandil </w:t>
            </w:r>
            <w:r>
              <w:rPr>
                <w:spacing w:val="-2"/>
                <w:sz w:val="24"/>
              </w:rPr>
              <w:t>kehtestatud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siduv ekspordipiirang</w:t>
            </w:r>
            <w:r w:rsidR="00136DF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vääramatuks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jõuks.</w:t>
            </w:r>
          </w:p>
          <w:p w14:paraId="55E38C11" w14:textId="6AFC5ADB" w:rsidR="007A1C4C" w:rsidRDefault="007A1C4C" w:rsidP="00553D36">
            <w:pPr>
              <w:pStyle w:val="TableParagraph"/>
              <w:spacing w:line="270" w:lineRule="atLeast"/>
              <w:ind w:left="110" w:right="95"/>
              <w:rPr>
                <w:sz w:val="24"/>
              </w:rPr>
            </w:pPr>
          </w:p>
        </w:tc>
        <w:tc>
          <w:tcPr>
            <w:tcW w:w="3336" w:type="dxa"/>
          </w:tcPr>
          <w:p w14:paraId="15814337" w14:textId="77777777" w:rsidR="005C06E2" w:rsidRDefault="00E7121B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Selgitatud.</w:t>
            </w:r>
          </w:p>
          <w:p w14:paraId="1AFC630F" w14:textId="174E3566" w:rsidR="005C06E2" w:rsidRDefault="00E7121B">
            <w:pPr>
              <w:pStyle w:val="TableParagraph"/>
              <w:tabs>
                <w:tab w:val="left" w:pos="1735"/>
                <w:tab w:val="left" w:pos="2734"/>
              </w:tabs>
              <w:spacing w:before="271"/>
              <w:ind w:right="94"/>
              <w:rPr>
                <w:sz w:val="24"/>
              </w:rPr>
            </w:pPr>
            <w:r>
              <w:rPr>
                <w:sz w:val="24"/>
              </w:rPr>
              <w:t xml:space="preserve">IMERA raamistiku rakendamine uue siseturu hädaolukorra ja </w:t>
            </w:r>
            <w:r>
              <w:rPr>
                <w:spacing w:val="-2"/>
                <w:sz w:val="24"/>
              </w:rPr>
              <w:t>vastupanuvõime</w:t>
            </w:r>
            <w:r w:rsidR="00A35ADB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määruse </w:t>
            </w:r>
            <w:r>
              <w:rPr>
                <w:sz w:val="24"/>
              </w:rPr>
              <w:t xml:space="preserve">rakendamise seaduse kaudu ei too kaasa kolmandatesse riikidesse </w:t>
            </w:r>
            <w:r>
              <w:rPr>
                <w:spacing w:val="-2"/>
                <w:sz w:val="24"/>
              </w:rPr>
              <w:t>suunatud</w:t>
            </w:r>
            <w:r w:rsidR="00A35AD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ekspordipiirangute </w:t>
            </w:r>
            <w:r>
              <w:rPr>
                <w:sz w:val="24"/>
              </w:rPr>
              <w:t>kehtestamist. IMERA eesmärk on tagada kaupade, teenuste ja isikute vaba liikumine Euroopa Liidu siseturul kriisi ajal, eelkõige siseturu hädaolukorra režiimis IMERA artikli 17 tähenduses.</w:t>
            </w:r>
          </w:p>
          <w:p w14:paraId="1D9DC345" w14:textId="77777777" w:rsidR="003C2C01" w:rsidRDefault="003C2C01" w:rsidP="00553D36">
            <w:pPr>
              <w:pStyle w:val="TableParagraph"/>
              <w:ind w:right="94"/>
              <w:rPr>
                <w:sz w:val="24"/>
              </w:rPr>
            </w:pPr>
          </w:p>
          <w:p w14:paraId="3123F054" w14:textId="61F8B753" w:rsidR="00553D36" w:rsidRDefault="00E7121B" w:rsidP="00553D36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Samuti on IMERA kokkupuude toiduvaldkonnaga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piiratud.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IMERA</w:t>
            </w:r>
            <w:r w:rsidR="00553D36">
              <w:rPr>
                <w:spacing w:val="-4"/>
                <w:sz w:val="24"/>
              </w:rPr>
              <w:t xml:space="preserve"> </w:t>
            </w:r>
            <w:r w:rsidR="00553D36">
              <w:rPr>
                <w:sz w:val="24"/>
              </w:rPr>
              <w:t>põhjenduspunktis 20 on sätestatud, et määrus ei tohiks piirata Euroopa toiduga kindlustatuse kriisiks valmisoleku ja sellele reageerimise mehhanismi rakendamist.</w:t>
            </w:r>
          </w:p>
          <w:p w14:paraId="4AC791AB" w14:textId="77777777" w:rsidR="00553D36" w:rsidRDefault="00553D36" w:rsidP="00553D36">
            <w:pPr>
              <w:pStyle w:val="TableParagraph"/>
              <w:spacing w:before="270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Samas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nähakse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ette,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IMERA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vaba </w:t>
            </w:r>
            <w:r>
              <w:rPr>
                <w:sz w:val="24"/>
              </w:rPr>
              <w:t>liikumist käsitlevad sätted, sh piiranguid puudutavad sätted (</w:t>
            </w:r>
            <w:r>
              <w:rPr>
                <w:sz w:val="24"/>
                <w:u w:val="single"/>
              </w:rPr>
              <w:t>st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piirangute vältimiseks või neist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tuleneva negatiivse mõju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leevendamiseks; IMERA ei loo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alust piirangute kehtestamiseks</w:t>
            </w:r>
            <w:r>
              <w:rPr>
                <w:sz w:val="24"/>
              </w:rPr>
              <w:t xml:space="preserve">), </w:t>
            </w:r>
            <w:r>
              <w:rPr>
                <w:sz w:val="24"/>
              </w:rPr>
              <w:lastRenderedPageBreak/>
              <w:t>kohalduvad ka toiduainetele.</w:t>
            </w:r>
          </w:p>
          <w:p w14:paraId="652C2E14" w14:textId="77777777" w:rsidR="00553D36" w:rsidRDefault="00553D36" w:rsidP="00553D36">
            <w:pPr>
              <w:pStyle w:val="TableParagraph"/>
              <w:ind w:right="94"/>
              <w:rPr>
                <w:sz w:val="24"/>
              </w:rPr>
            </w:pPr>
            <w:r>
              <w:rPr>
                <w:sz w:val="24"/>
              </w:rPr>
              <w:t>See tähendab, et ka kriisiolukorras peab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toiduainete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liikumine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siseturul </w:t>
            </w:r>
            <w:r>
              <w:rPr>
                <w:spacing w:val="-2"/>
                <w:sz w:val="24"/>
              </w:rPr>
              <w:t>olema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tagatud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(IMERA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artiklite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20–</w:t>
            </w:r>
            <w:r>
              <w:rPr>
                <w:sz w:val="24"/>
              </w:rPr>
              <w:t>21 tähenduses). Juhul kui liikmesriik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otsustab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avalikust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huvist lähtudes kehtestada siseturu hädaolukorra režiimis teatud piiranguid, peavad need olema kooskõlas liidu õigusega, eelkõige proportsionaalsed ja ajaliselt </w:t>
            </w:r>
            <w:r>
              <w:rPr>
                <w:spacing w:val="-2"/>
                <w:sz w:val="24"/>
              </w:rPr>
              <w:t>piiratud.</w:t>
            </w:r>
          </w:p>
          <w:p w14:paraId="6AF090C0" w14:textId="77777777" w:rsidR="00553D36" w:rsidRDefault="00553D36" w:rsidP="00553D36">
            <w:pPr>
              <w:pStyle w:val="TableParagraph"/>
              <w:spacing w:before="275"/>
              <w:rPr>
                <w:sz w:val="24"/>
              </w:rPr>
            </w:pPr>
            <w:r>
              <w:rPr>
                <w:sz w:val="24"/>
              </w:rPr>
              <w:t>Seletuskirja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on </w:t>
            </w:r>
            <w:r>
              <w:rPr>
                <w:spacing w:val="-2"/>
                <w:sz w:val="24"/>
              </w:rPr>
              <w:t>täpsustatud:</w:t>
            </w:r>
          </w:p>
          <w:p w14:paraId="29EE0DA3" w14:textId="77777777" w:rsidR="00553D36" w:rsidRDefault="00553D36" w:rsidP="00553D36">
            <w:pPr>
              <w:pStyle w:val="TableParagraph"/>
              <w:ind w:left="0"/>
              <w:jc w:val="left"/>
              <w:rPr>
                <w:rFonts w:ascii="Arial MT"/>
                <w:sz w:val="24"/>
              </w:rPr>
            </w:pPr>
          </w:p>
          <w:p w14:paraId="2C8DF1AB" w14:textId="67801F61" w:rsidR="00553D36" w:rsidRDefault="00553D36" w:rsidP="00553D36">
            <w:pPr>
              <w:pStyle w:val="TableParagraph"/>
              <w:tabs>
                <w:tab w:val="left" w:pos="2176"/>
              </w:tabs>
              <w:ind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„Kohaldamisalast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osaliselt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välja jäetud meditsiinilised tooted, meditsiiniseadmed ja muud </w:t>
            </w:r>
            <w:r>
              <w:rPr>
                <w:i/>
                <w:spacing w:val="-2"/>
                <w:sz w:val="24"/>
              </w:rPr>
              <w:t>meditsiinilised</w:t>
            </w:r>
            <w:r w:rsidR="003C2C01"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vastumeetmed </w:t>
            </w:r>
            <w:r>
              <w:rPr>
                <w:i/>
                <w:sz w:val="24"/>
              </w:rPr>
              <w:t>(näiteks vaktsiinid või antidoodid). IMERA artikli 2 lõikest 3 tuleneva erandi kohaselt jäävad nende toodete suhtes siiski kohaldatavaks vaba liikumist soodustavad meetmed (artiklid 20–22), läbipaistvust käsitlevad sätted (artikkel 23) ning digivahendite kasutamist reguleeriv artikkel 44.</w:t>
            </w:r>
          </w:p>
          <w:p w14:paraId="5F70F443" w14:textId="6372FA35" w:rsidR="005C06E2" w:rsidRDefault="00553D36" w:rsidP="00553D36">
            <w:pPr>
              <w:pStyle w:val="TableParagraph"/>
              <w:spacing w:before="265" w:line="270" w:lineRule="atLeast"/>
              <w:ind w:right="84"/>
              <w:rPr>
                <w:sz w:val="24"/>
              </w:rPr>
            </w:pPr>
            <w:r>
              <w:rPr>
                <w:i/>
                <w:sz w:val="24"/>
              </w:rPr>
              <w:t>Ülejäänud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kaupade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(sh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toiduained</w:t>
            </w:r>
            <w:r>
              <w:rPr>
                <w:i/>
                <w:sz w:val="24"/>
              </w:rPr>
              <w:t>) ja teenuste osas tähendab IMERA, et liikmesriigid ei tohi kriisiolukorras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omavoliliselt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piirata selliste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kaupade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või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teenuste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ELi-</w:t>
            </w:r>
            <w:r>
              <w:rPr>
                <w:i/>
                <w:sz w:val="24"/>
              </w:rPr>
              <w:t xml:space="preserve"> sisest liikumist ega takistada töötajate liikumist, välja arvatud juhul, kui mõnes teises ELi mehhanismis on kehtestatud selgesõnaline erand“.</w:t>
            </w:r>
          </w:p>
        </w:tc>
      </w:tr>
    </w:tbl>
    <w:p w14:paraId="718CC133" w14:textId="77777777" w:rsidR="00E7121B" w:rsidRDefault="00E7121B" w:rsidP="007A1C4C"/>
    <w:sectPr w:rsidR="00E7121B">
      <w:type w:val="continuous"/>
      <w:pgSz w:w="12240" w:h="15840"/>
      <w:pgMar w:top="1400" w:right="360" w:bottom="280" w:left="3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95F0D" w14:textId="77777777" w:rsidR="00672B73" w:rsidRDefault="00672B73" w:rsidP="00553D36">
      <w:r>
        <w:separator/>
      </w:r>
    </w:p>
  </w:endnote>
  <w:endnote w:type="continuationSeparator" w:id="0">
    <w:p w14:paraId="06750A72" w14:textId="77777777" w:rsidR="00672B73" w:rsidRDefault="00672B73" w:rsidP="00553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9589117"/>
      <w:docPartObj>
        <w:docPartGallery w:val="Page Numbers (Bottom of Page)"/>
        <w:docPartUnique/>
      </w:docPartObj>
    </w:sdtPr>
    <w:sdtContent>
      <w:p w14:paraId="416FE5C0" w14:textId="7AB52DBC" w:rsidR="00553D36" w:rsidRDefault="00553D36">
        <w:pPr>
          <w:pStyle w:val="Jalu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A0A60D8" w14:textId="77777777" w:rsidR="00553D36" w:rsidRDefault="00553D36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BEE28" w14:textId="77777777" w:rsidR="00672B73" w:rsidRDefault="00672B73" w:rsidP="00553D36">
      <w:r>
        <w:separator/>
      </w:r>
    </w:p>
  </w:footnote>
  <w:footnote w:type="continuationSeparator" w:id="0">
    <w:p w14:paraId="23C1E082" w14:textId="77777777" w:rsidR="00672B73" w:rsidRDefault="00672B73" w:rsidP="00553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C2CCF"/>
    <w:multiLevelType w:val="hybridMultilevel"/>
    <w:tmpl w:val="5D6C70EC"/>
    <w:lvl w:ilvl="0" w:tplc="953C8E54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t-EE" w:eastAsia="en-US" w:bidi="ar-SA"/>
      </w:rPr>
    </w:lvl>
    <w:lvl w:ilvl="1" w:tplc="A9A00FE2">
      <w:numFmt w:val="bullet"/>
      <w:lvlText w:val="•"/>
      <w:lvlJc w:val="left"/>
      <w:pPr>
        <w:ind w:left="1093" w:hanging="360"/>
      </w:pPr>
      <w:rPr>
        <w:rFonts w:hint="default"/>
        <w:lang w:val="et-EE" w:eastAsia="en-US" w:bidi="ar-SA"/>
      </w:rPr>
    </w:lvl>
    <w:lvl w:ilvl="2" w:tplc="C33438C6">
      <w:numFmt w:val="bullet"/>
      <w:lvlText w:val="•"/>
      <w:lvlJc w:val="left"/>
      <w:pPr>
        <w:ind w:left="1367" w:hanging="360"/>
      </w:pPr>
      <w:rPr>
        <w:rFonts w:hint="default"/>
        <w:lang w:val="et-EE" w:eastAsia="en-US" w:bidi="ar-SA"/>
      </w:rPr>
    </w:lvl>
    <w:lvl w:ilvl="3" w:tplc="89F043A2">
      <w:numFmt w:val="bullet"/>
      <w:lvlText w:val="•"/>
      <w:lvlJc w:val="left"/>
      <w:pPr>
        <w:ind w:left="1640" w:hanging="360"/>
      </w:pPr>
      <w:rPr>
        <w:rFonts w:hint="default"/>
        <w:lang w:val="et-EE" w:eastAsia="en-US" w:bidi="ar-SA"/>
      </w:rPr>
    </w:lvl>
    <w:lvl w:ilvl="4" w:tplc="EB2EF88C">
      <w:numFmt w:val="bullet"/>
      <w:lvlText w:val="•"/>
      <w:lvlJc w:val="left"/>
      <w:pPr>
        <w:ind w:left="1914" w:hanging="360"/>
      </w:pPr>
      <w:rPr>
        <w:rFonts w:hint="default"/>
        <w:lang w:val="et-EE" w:eastAsia="en-US" w:bidi="ar-SA"/>
      </w:rPr>
    </w:lvl>
    <w:lvl w:ilvl="5" w:tplc="9F7A89F6">
      <w:numFmt w:val="bullet"/>
      <w:lvlText w:val="•"/>
      <w:lvlJc w:val="left"/>
      <w:pPr>
        <w:ind w:left="2187" w:hanging="360"/>
      </w:pPr>
      <w:rPr>
        <w:rFonts w:hint="default"/>
        <w:lang w:val="et-EE" w:eastAsia="en-US" w:bidi="ar-SA"/>
      </w:rPr>
    </w:lvl>
    <w:lvl w:ilvl="6" w:tplc="168C49CC">
      <w:numFmt w:val="bullet"/>
      <w:lvlText w:val="•"/>
      <w:lvlJc w:val="left"/>
      <w:pPr>
        <w:ind w:left="2461" w:hanging="360"/>
      </w:pPr>
      <w:rPr>
        <w:rFonts w:hint="default"/>
        <w:lang w:val="et-EE" w:eastAsia="en-US" w:bidi="ar-SA"/>
      </w:rPr>
    </w:lvl>
    <w:lvl w:ilvl="7" w:tplc="905CA0B6">
      <w:numFmt w:val="bullet"/>
      <w:lvlText w:val="•"/>
      <w:lvlJc w:val="left"/>
      <w:pPr>
        <w:ind w:left="2734" w:hanging="360"/>
      </w:pPr>
      <w:rPr>
        <w:rFonts w:hint="default"/>
        <w:lang w:val="et-EE" w:eastAsia="en-US" w:bidi="ar-SA"/>
      </w:rPr>
    </w:lvl>
    <w:lvl w:ilvl="8" w:tplc="FAB47044">
      <w:numFmt w:val="bullet"/>
      <w:lvlText w:val="•"/>
      <w:lvlJc w:val="left"/>
      <w:pPr>
        <w:ind w:left="3008" w:hanging="360"/>
      </w:pPr>
      <w:rPr>
        <w:rFonts w:hint="default"/>
        <w:lang w:val="et-EE" w:eastAsia="en-US" w:bidi="ar-SA"/>
      </w:rPr>
    </w:lvl>
  </w:abstractNum>
  <w:num w:numId="1" w16cid:durableId="92285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6E2"/>
    <w:rsid w:val="000005A7"/>
    <w:rsid w:val="00106D11"/>
    <w:rsid w:val="00136DF6"/>
    <w:rsid w:val="001B2D30"/>
    <w:rsid w:val="003C2C01"/>
    <w:rsid w:val="004517D8"/>
    <w:rsid w:val="00553D36"/>
    <w:rsid w:val="00572A01"/>
    <w:rsid w:val="005C06E2"/>
    <w:rsid w:val="00672B73"/>
    <w:rsid w:val="007A1C4C"/>
    <w:rsid w:val="009E5FB2"/>
    <w:rsid w:val="00A35ADB"/>
    <w:rsid w:val="00B458E4"/>
    <w:rsid w:val="00E7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FF3D6"/>
  <w15:docId w15:val="{3E1DC771-49F7-4AA5-96DC-4AAB3D572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rFonts w:ascii="Times New Roman" w:eastAsia="Times New Roman" w:hAnsi="Times New Roman" w:cs="Times New Roman"/>
      <w:lang w:val="et-EE"/>
    </w:rPr>
  </w:style>
  <w:style w:type="paragraph" w:styleId="Pealkiri1">
    <w:name w:val="heading 1"/>
    <w:basedOn w:val="Normaallaad"/>
    <w:uiPriority w:val="9"/>
    <w:qFormat/>
    <w:pPr>
      <w:ind w:left="1056"/>
      <w:outlineLvl w:val="0"/>
    </w:pPr>
    <w:rPr>
      <w:b/>
      <w:bCs/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ehatekst">
    <w:name w:val="Body Text"/>
    <w:basedOn w:val="Normaallaad"/>
    <w:uiPriority w:val="1"/>
    <w:qFormat/>
    <w:rPr>
      <w:sz w:val="24"/>
      <w:szCs w:val="24"/>
    </w:rPr>
  </w:style>
  <w:style w:type="paragraph" w:styleId="Loendilik">
    <w:name w:val="List Paragraph"/>
    <w:basedOn w:val="Normaallaad"/>
    <w:uiPriority w:val="1"/>
    <w:qFormat/>
  </w:style>
  <w:style w:type="paragraph" w:customStyle="1" w:styleId="TableParagraph">
    <w:name w:val="Table Paragraph"/>
    <w:basedOn w:val="Normaallaad"/>
    <w:uiPriority w:val="1"/>
    <w:qFormat/>
    <w:pPr>
      <w:ind w:left="108"/>
      <w:jc w:val="both"/>
    </w:pPr>
  </w:style>
  <w:style w:type="paragraph" w:styleId="Pis">
    <w:name w:val="header"/>
    <w:basedOn w:val="Normaallaad"/>
    <w:link w:val="PisMrk"/>
    <w:uiPriority w:val="99"/>
    <w:unhideWhenUsed/>
    <w:rsid w:val="00553D36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553D36"/>
    <w:rPr>
      <w:rFonts w:ascii="Times New Roman" w:eastAsia="Times New Roman" w:hAnsi="Times New Roman" w:cs="Times New Roman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553D36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553D36"/>
    <w:rPr>
      <w:rFonts w:ascii="Times New Roman" w:eastAsia="Times New Roman" w:hAnsi="Times New Roman" w:cs="Times New Roman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37fe66-7b5b-47f1-b652-4788c4af0719">
      <Terms xmlns="http://schemas.microsoft.com/office/infopath/2007/PartnerControls"/>
    </lcf76f155ced4ddcb4097134ff3c332f>
    <TaxCatchAll xmlns="3d7fb3fa-7f75-4382-a1fe-43b99e0a978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DF00E875A9A44F8E1F60D2B4D03DF5" ma:contentTypeVersion="13" ma:contentTypeDescription="Loo uus dokument" ma:contentTypeScope="" ma:versionID="7f3c0193f83d03c09b518b2561b75e96">
  <xsd:schema xmlns:xsd="http://www.w3.org/2001/XMLSchema" xmlns:xs="http://www.w3.org/2001/XMLSchema" xmlns:p="http://schemas.microsoft.com/office/2006/metadata/properties" xmlns:ns2="c337fe66-7b5b-47f1-b652-4788c4af0719" xmlns:ns3="3d7fb3fa-7f75-4382-a1fe-43b99e0a9782" targetNamespace="http://schemas.microsoft.com/office/2006/metadata/properties" ma:root="true" ma:fieldsID="fff1f541a57634efe9ea976b373eca1a" ns2:_="" ns3:_="">
    <xsd:import namespace="c337fe66-7b5b-47f1-b652-4788c4af0719"/>
    <xsd:import namespace="3d7fb3fa-7f75-4382-a1fe-43b99e0a9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37fe66-7b5b-47f1-b652-4788c4af0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b3fa-7f75-4382-a1fe-43b99e0a978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b0ee404-bb6f-4f84-90e1-bd764a42e72b}" ma:internalName="TaxCatchAll" ma:showField="CatchAllData" ma:web="3d7fb3fa-7f75-4382-a1fe-43b99e0a9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BEB371-7D02-43CB-9DCF-F46ABBF5BCD4}">
  <ds:schemaRefs>
    <ds:schemaRef ds:uri="http://schemas.microsoft.com/office/2006/metadata/properties"/>
    <ds:schemaRef ds:uri="http://schemas.microsoft.com/office/infopath/2007/PartnerControls"/>
    <ds:schemaRef ds:uri="c337fe66-7b5b-47f1-b652-4788c4af0719"/>
    <ds:schemaRef ds:uri="3d7fb3fa-7f75-4382-a1fe-43b99e0a9782"/>
  </ds:schemaRefs>
</ds:datastoreItem>
</file>

<file path=customXml/itemProps2.xml><?xml version="1.0" encoding="utf-8"?>
<ds:datastoreItem xmlns:ds="http://schemas.openxmlformats.org/officeDocument/2006/customXml" ds:itemID="{EF90801F-406C-4819-AA32-AB674FC8EB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D3529-03C8-4AB4-836B-5506BE3EC5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37fe66-7b5b-47f1-b652-4788c4af0719"/>
    <ds:schemaRef ds:uri="3d7fb3fa-7f75-4382-a1fe-43b99e0a9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806</Words>
  <Characters>4675</Characters>
  <Application>Microsoft Office Word</Application>
  <DocSecurity>0</DocSecurity>
  <Lines>38</Lines>
  <Paragraphs>10</Paragraphs>
  <ScaleCrop>false</ScaleCrop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Štšur - MKM</dc:creator>
  <cp:lastModifiedBy>Heili Tõnisson - RK</cp:lastModifiedBy>
  <cp:revision>11</cp:revision>
  <dcterms:created xsi:type="dcterms:W3CDTF">2026-08-27T05:32:00Z</dcterms:created>
  <dcterms:modified xsi:type="dcterms:W3CDTF">2026-08-27T08:25:00Z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2026-05-19T00:00:00Z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2026-08-27T00:00:00Z</vt:filetime>
  </property>
  <property fmtid="{D5CDD505-2E9C-101B-9397-08002B2CF9AE}" pid="6" name="Producer">
    <vt:lpwstr>Microsoft® Word 2013</vt:lpwstr>
  </property>
  <property fmtid="{D5CDD505-2E9C-101B-9397-08002B2CF9AE}" pid="7" name="MSIP_Label_defa4170-0d19-0005-0004-bc88714345d2_Enabled">
    <vt:lpwstr>true</vt:lpwstr>
  </property>
  <property fmtid="{D5CDD505-2E9C-101B-9397-08002B2CF9AE}" pid="8" name="MSIP_Label_defa4170-0d19-0005-0004-bc88714345d2_SetDate">
    <vt:lpwstr>2026-08-27T05:32:56Z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iteId">
    <vt:lpwstr>8fe098d2-428d-4bd4-9803-7195fe96f0e2</vt:lpwstr>
  </property>
  <property fmtid="{D5CDD505-2E9C-101B-9397-08002B2CF9AE}" pid="12" name="MSIP_Label_defa4170-0d19-0005-0004-bc88714345d2_ActionId">
    <vt:lpwstr>33ae7d98-a8f4-4fca-a293-b81dbc41e0c7</vt:lpwstr>
  </property>
  <property fmtid="{D5CDD505-2E9C-101B-9397-08002B2CF9AE}" pid="13" name="MSIP_Label_defa4170-0d19-0005-0004-bc88714345d2_ContentBits">
    <vt:lpwstr>0</vt:lpwstr>
  </property>
  <property fmtid="{D5CDD505-2E9C-101B-9397-08002B2CF9AE}" pid="14" name="MSIP_Label_defa4170-0d19-0005-0004-bc88714345d2_Tag">
    <vt:lpwstr>10, 3, 0, 1</vt:lpwstr>
  </property>
  <property fmtid="{D5CDD505-2E9C-101B-9397-08002B2CF9AE}" pid="15" name="ContentTypeId">
    <vt:lpwstr>0x01010077DF00E875A9A44F8E1F60D2B4D03DF5</vt:lpwstr>
  </property>
</Properties>
</file>